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A2" w:rsidRDefault="00F05FA2" w:rsidP="00F05F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FA2" w:rsidRDefault="00F05FA2" w:rsidP="00F05FA2">
      <w:pPr>
        <w:jc w:val="center"/>
        <w:rPr>
          <w:rFonts w:ascii="Times New Roman" w:hAnsi="Times New Roman" w:cs="Times New Roman"/>
        </w:rPr>
      </w:pPr>
    </w:p>
    <w:p w:rsidR="00F05FA2" w:rsidRPr="00F05FA2" w:rsidRDefault="00F05FA2" w:rsidP="00F05FA2">
      <w:pPr>
        <w:jc w:val="center"/>
        <w:rPr>
          <w:rFonts w:ascii="Times New Roman" w:hAnsi="Times New Roman" w:cs="Times New Roman"/>
          <w:b/>
          <w:sz w:val="36"/>
        </w:rPr>
      </w:pPr>
      <w:r w:rsidRPr="00F05FA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05FA2" w:rsidRDefault="00F05FA2" w:rsidP="00F05FA2">
      <w:pPr>
        <w:jc w:val="center"/>
        <w:rPr>
          <w:rFonts w:ascii="Times New Roman" w:hAnsi="Times New Roman" w:cs="Times New Roman"/>
        </w:rPr>
      </w:pPr>
    </w:p>
    <w:p w:rsidR="00F05FA2" w:rsidRDefault="00F05FA2" w:rsidP="00F05FA2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05FA2" w:rsidRDefault="00F05FA2" w:rsidP="00F05FA2">
      <w:pPr>
        <w:jc w:val="center"/>
        <w:rPr>
          <w:rFonts w:ascii="Times New Roman" w:hAnsi="Times New Roman" w:cs="Times New Roman"/>
          <w:sz w:val="44"/>
        </w:rPr>
      </w:pPr>
    </w:p>
    <w:p w:rsidR="00F05FA2" w:rsidRPr="00EF7DF6" w:rsidRDefault="00F05FA2" w:rsidP="00F05FA2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05FA2" w:rsidTr="00F05FA2">
        <w:tc>
          <w:tcPr>
            <w:tcW w:w="4785" w:type="dxa"/>
            <w:shd w:val="clear" w:color="auto" w:fill="auto"/>
          </w:tcPr>
          <w:p w:rsidR="00F05FA2" w:rsidRPr="00BB7C11" w:rsidRDefault="00525625" w:rsidP="00BB7C11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04.03.2016</w:t>
            </w:r>
          </w:p>
        </w:tc>
        <w:tc>
          <w:tcPr>
            <w:tcW w:w="4786" w:type="dxa"/>
            <w:shd w:val="clear" w:color="auto" w:fill="auto"/>
          </w:tcPr>
          <w:p w:rsidR="00F05FA2" w:rsidRPr="00BB7C11" w:rsidRDefault="00525625" w:rsidP="00BB7C11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53-р</w:t>
            </w:r>
          </w:p>
        </w:tc>
      </w:tr>
    </w:tbl>
    <w:p w:rsidR="00F05FA2" w:rsidRDefault="00F05FA2" w:rsidP="00F05FA2">
      <w:pPr>
        <w:jc w:val="center"/>
        <w:rPr>
          <w:rFonts w:ascii="Times New Roman" w:hAnsi="Times New Roman" w:cs="Times New Roman"/>
          <w:sz w:val="44"/>
        </w:rPr>
      </w:pPr>
    </w:p>
    <w:p w:rsidR="00F05FA2" w:rsidRPr="00EF7DF6" w:rsidRDefault="00F05FA2" w:rsidP="00F05FA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05FA2" w:rsidRDefault="00F05FA2" w:rsidP="00F05FA2">
      <w:pPr>
        <w:rPr>
          <w:rFonts w:ascii="Times New Roman" w:hAnsi="Times New Roman" w:cs="Times New Roman"/>
          <w:sz w:val="24"/>
        </w:rPr>
        <w:sectPr w:rsidR="00F05FA2" w:rsidSect="00F05FA2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EF7DF6" w:rsidRDefault="00EE539B" w:rsidP="00EF7D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7DF6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3E79F1" w:rsidRPr="00EF7DF6">
        <w:rPr>
          <w:rFonts w:ascii="Times New Roman" w:hAnsi="Times New Roman" w:cs="Times New Roman"/>
          <w:sz w:val="30"/>
          <w:szCs w:val="30"/>
        </w:rPr>
        <w:t>проведении аукциона на право заключения договора</w:t>
      </w:r>
    </w:p>
    <w:p w:rsidR="003E79F1" w:rsidRPr="00EF7DF6" w:rsidRDefault="003E79F1" w:rsidP="00EF7D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7DF6">
        <w:rPr>
          <w:rFonts w:ascii="Times New Roman" w:hAnsi="Times New Roman" w:cs="Times New Roman"/>
          <w:sz w:val="30"/>
          <w:szCs w:val="30"/>
        </w:rPr>
        <w:t xml:space="preserve">о развитии застроенной территории по ул. </w:t>
      </w:r>
      <w:r w:rsidR="00B03B48" w:rsidRPr="00EF7DF6">
        <w:rPr>
          <w:rFonts w:ascii="Times New Roman" w:hAnsi="Times New Roman" w:cs="Times New Roman"/>
          <w:sz w:val="30"/>
          <w:szCs w:val="30"/>
        </w:rPr>
        <w:t>Семафорной, 309, 319</w:t>
      </w:r>
    </w:p>
    <w:p w:rsidR="003E79F1" w:rsidRPr="00EF7DF6" w:rsidRDefault="003E79F1" w:rsidP="00EF7DF6"/>
    <w:p w:rsidR="008C2FF1" w:rsidRDefault="008C2F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C2FF1" w:rsidRDefault="008C2F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8C2FF1" w:rsidRDefault="003E79F1" w:rsidP="008C2FF1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В соотв</w:t>
      </w:r>
      <w:r w:rsidR="00EF7DF6">
        <w:rPr>
          <w:rFonts w:ascii="Times New Roman" w:hAnsi="Times New Roman" w:cs="Times New Roman"/>
          <w:sz w:val="30"/>
          <w:szCs w:val="30"/>
        </w:rPr>
        <w:t>етствии со статьями 46.1–</w:t>
      </w:r>
      <w:r w:rsidRPr="008C2FF1">
        <w:rPr>
          <w:rFonts w:ascii="Times New Roman" w:hAnsi="Times New Roman" w:cs="Times New Roman"/>
          <w:sz w:val="30"/>
          <w:szCs w:val="30"/>
        </w:rPr>
        <w:t xml:space="preserve">46.3 Градостроительного кодекса Российской Федерации, распоряжением администрации города </w:t>
      </w:r>
      <w:r w:rsidR="00EF7DF6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8C2FF1">
        <w:rPr>
          <w:rFonts w:ascii="Times New Roman" w:hAnsi="Times New Roman" w:cs="Times New Roman"/>
          <w:sz w:val="30"/>
          <w:szCs w:val="30"/>
        </w:rPr>
        <w:t>от 11.0</w:t>
      </w:r>
      <w:r w:rsidR="00B14A58" w:rsidRPr="008C2FF1">
        <w:rPr>
          <w:rFonts w:ascii="Times New Roman" w:hAnsi="Times New Roman" w:cs="Times New Roman"/>
          <w:sz w:val="30"/>
          <w:szCs w:val="30"/>
        </w:rPr>
        <w:t>2</w:t>
      </w:r>
      <w:r w:rsidRPr="008C2FF1">
        <w:rPr>
          <w:rFonts w:ascii="Times New Roman" w:hAnsi="Times New Roman" w:cs="Times New Roman"/>
          <w:sz w:val="30"/>
          <w:szCs w:val="30"/>
        </w:rPr>
        <w:t>.201</w:t>
      </w:r>
      <w:r w:rsidR="00B14A58" w:rsidRPr="008C2FF1">
        <w:rPr>
          <w:rFonts w:ascii="Times New Roman" w:hAnsi="Times New Roman" w:cs="Times New Roman"/>
          <w:sz w:val="30"/>
          <w:szCs w:val="30"/>
        </w:rPr>
        <w:t>6</w:t>
      </w:r>
      <w:r w:rsidRPr="008C2FF1">
        <w:rPr>
          <w:rFonts w:ascii="Times New Roman" w:hAnsi="Times New Roman" w:cs="Times New Roman"/>
          <w:sz w:val="30"/>
          <w:szCs w:val="30"/>
        </w:rPr>
        <w:t xml:space="preserve"> № </w:t>
      </w:r>
      <w:r w:rsidR="00B14A58" w:rsidRPr="008C2FF1">
        <w:rPr>
          <w:rFonts w:ascii="Times New Roman" w:hAnsi="Times New Roman" w:cs="Times New Roman"/>
          <w:sz w:val="30"/>
          <w:szCs w:val="30"/>
        </w:rPr>
        <w:t>15</w:t>
      </w:r>
      <w:r w:rsidRPr="008C2FF1">
        <w:rPr>
          <w:rFonts w:ascii="Times New Roman" w:hAnsi="Times New Roman" w:cs="Times New Roman"/>
          <w:sz w:val="30"/>
          <w:szCs w:val="30"/>
        </w:rPr>
        <w:t>-арх «</w:t>
      </w:r>
      <w:r w:rsidR="00B14A58" w:rsidRPr="008C2FF1">
        <w:rPr>
          <w:rFonts w:ascii="Times New Roman" w:hAnsi="Times New Roman" w:cs="Times New Roman"/>
          <w:sz w:val="30"/>
          <w:szCs w:val="30"/>
        </w:rPr>
        <w:t>О развитии застроенной территории, распол</w:t>
      </w:r>
      <w:r w:rsidR="00B14A58" w:rsidRPr="008C2FF1">
        <w:rPr>
          <w:rFonts w:ascii="Times New Roman" w:hAnsi="Times New Roman" w:cs="Times New Roman"/>
          <w:sz w:val="30"/>
          <w:szCs w:val="30"/>
        </w:rPr>
        <w:t>о</w:t>
      </w:r>
      <w:r w:rsidR="00B14A58" w:rsidRPr="008C2FF1">
        <w:rPr>
          <w:rFonts w:ascii="Times New Roman" w:hAnsi="Times New Roman" w:cs="Times New Roman"/>
          <w:sz w:val="30"/>
          <w:szCs w:val="30"/>
        </w:rPr>
        <w:t>женной по ул. Семафорной, 309, 319</w:t>
      </w:r>
      <w:r w:rsidRPr="008C2FF1">
        <w:rPr>
          <w:rFonts w:ascii="Times New Roman" w:hAnsi="Times New Roman" w:cs="Times New Roman"/>
          <w:sz w:val="30"/>
          <w:szCs w:val="30"/>
        </w:rPr>
        <w:t>», руководствуясь статьями 41, 58, 59 Устава города Красноярска:</w:t>
      </w:r>
    </w:p>
    <w:p w:rsidR="003E79F1" w:rsidRPr="008C2FF1" w:rsidRDefault="003E79F1" w:rsidP="008C2FF1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1. Провести аукцион, открытый по составу участников и форме подачи заявок, на право заключения договора о развитии застроенной территории, расположенной по ул.</w:t>
      </w:r>
      <w:r w:rsidRPr="008C2FF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F5422" w:rsidRPr="008C2FF1">
        <w:rPr>
          <w:rFonts w:ascii="Times New Roman" w:hAnsi="Times New Roman" w:cs="Times New Roman"/>
          <w:sz w:val="30"/>
          <w:szCs w:val="30"/>
        </w:rPr>
        <w:t>Семафорной, 309, 319</w:t>
      </w:r>
      <w:r w:rsidR="00EF7DF6">
        <w:rPr>
          <w:rFonts w:ascii="Times New Roman" w:hAnsi="Times New Roman" w:cs="Times New Roman"/>
          <w:sz w:val="30"/>
          <w:szCs w:val="30"/>
        </w:rPr>
        <w:t>,</w:t>
      </w:r>
      <w:r w:rsidR="007F5422" w:rsidRPr="008C2FF1">
        <w:rPr>
          <w:rFonts w:ascii="Times New Roman" w:hAnsi="Times New Roman" w:cs="Times New Roman"/>
          <w:sz w:val="30"/>
          <w:szCs w:val="30"/>
        </w:rPr>
        <w:t xml:space="preserve"> </w:t>
      </w:r>
      <w:r w:rsidRPr="008C2FF1">
        <w:rPr>
          <w:rFonts w:ascii="Times New Roman" w:hAnsi="Times New Roman" w:cs="Times New Roman"/>
          <w:sz w:val="30"/>
          <w:szCs w:val="30"/>
        </w:rPr>
        <w:t xml:space="preserve">в </w:t>
      </w:r>
      <w:r w:rsidR="007F5422" w:rsidRPr="008C2FF1">
        <w:rPr>
          <w:rFonts w:ascii="Times New Roman" w:hAnsi="Times New Roman" w:cs="Times New Roman"/>
          <w:sz w:val="30"/>
          <w:szCs w:val="30"/>
        </w:rPr>
        <w:t xml:space="preserve">Кировском </w:t>
      </w:r>
      <w:r w:rsidRPr="008C2FF1">
        <w:rPr>
          <w:rFonts w:ascii="Times New Roman" w:hAnsi="Times New Roman" w:cs="Times New Roman"/>
          <w:sz w:val="30"/>
          <w:szCs w:val="30"/>
        </w:rPr>
        <w:t xml:space="preserve">районе г. Красноярска (далее – застроенная территория), площадью </w:t>
      </w:r>
      <w:r w:rsidR="007F5422" w:rsidRPr="008C2FF1">
        <w:rPr>
          <w:rFonts w:ascii="Times New Roman" w:hAnsi="Times New Roman" w:cs="Times New Roman"/>
          <w:sz w:val="30"/>
          <w:szCs w:val="30"/>
        </w:rPr>
        <w:t xml:space="preserve">                  3 459 </w:t>
      </w:r>
      <w:r w:rsidRPr="008C2FF1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7F5422" w:rsidRPr="008C2FF1">
        <w:rPr>
          <w:rFonts w:ascii="Times New Roman" w:hAnsi="Times New Roman" w:cs="Times New Roman"/>
          <w:sz w:val="30"/>
          <w:szCs w:val="30"/>
        </w:rPr>
        <w:t xml:space="preserve">2 264 244 </w:t>
      </w:r>
      <w:r w:rsidR="006B2A75" w:rsidRPr="008C2FF1">
        <w:rPr>
          <w:rFonts w:ascii="Times New Roman" w:hAnsi="Times New Roman" w:cs="Times New Roman"/>
          <w:sz w:val="30"/>
          <w:szCs w:val="30"/>
        </w:rPr>
        <w:t>(д</w:t>
      </w:r>
      <w:r w:rsidR="007F5422" w:rsidRPr="008C2FF1">
        <w:rPr>
          <w:rFonts w:ascii="Times New Roman" w:hAnsi="Times New Roman" w:cs="Times New Roman"/>
          <w:sz w:val="30"/>
          <w:szCs w:val="30"/>
        </w:rPr>
        <w:t xml:space="preserve">ва миллиона двести шестьдесят четыре тысячи двести сорок четыре) </w:t>
      </w:r>
      <w:r w:rsidRPr="008C2FF1">
        <w:rPr>
          <w:rFonts w:ascii="Times New Roman" w:hAnsi="Times New Roman" w:cs="Times New Roman"/>
          <w:sz w:val="30"/>
          <w:szCs w:val="30"/>
        </w:rPr>
        <w:t>ру</w:t>
      </w:r>
      <w:r w:rsidR="00EF7DF6">
        <w:rPr>
          <w:rFonts w:ascii="Times New Roman" w:hAnsi="Times New Roman" w:cs="Times New Roman"/>
          <w:sz w:val="30"/>
          <w:szCs w:val="30"/>
        </w:rPr>
        <w:t>блей</w:t>
      </w:r>
      <w:r w:rsidRPr="008C2FF1">
        <w:rPr>
          <w:rFonts w:ascii="Times New Roman" w:hAnsi="Times New Roman" w:cs="Times New Roman"/>
          <w:sz w:val="30"/>
          <w:szCs w:val="30"/>
        </w:rPr>
        <w:t xml:space="preserve"> 00 копеек и сумму задатка </w:t>
      </w:r>
      <w:r w:rsidR="006B2A75" w:rsidRPr="008C2FF1">
        <w:rPr>
          <w:rFonts w:ascii="Times New Roman" w:hAnsi="Times New Roman" w:cs="Times New Roman"/>
          <w:sz w:val="30"/>
          <w:szCs w:val="30"/>
        </w:rPr>
        <w:t xml:space="preserve">–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6B2A75" w:rsidRPr="008C2FF1">
        <w:rPr>
          <w:rFonts w:ascii="Times New Roman" w:hAnsi="Times New Roman" w:cs="Times New Roman"/>
          <w:sz w:val="30"/>
          <w:szCs w:val="30"/>
        </w:rPr>
        <w:t>5</w:t>
      </w:r>
      <w:r w:rsidR="00EF7DF6">
        <w:rPr>
          <w:rFonts w:ascii="Times New Roman" w:hAnsi="Times New Roman" w:cs="Times New Roman"/>
          <w:sz w:val="30"/>
          <w:szCs w:val="30"/>
        </w:rPr>
        <w:t>0 процентов</w:t>
      </w:r>
      <w:r w:rsidRPr="008C2FF1">
        <w:rPr>
          <w:rFonts w:ascii="Times New Roman" w:hAnsi="Times New Roman" w:cs="Times New Roman"/>
          <w:sz w:val="30"/>
          <w:szCs w:val="30"/>
        </w:rPr>
        <w:t xml:space="preserve"> от начальной цены аукциона в размере </w:t>
      </w:r>
      <w:r w:rsidR="006B2A75" w:rsidRPr="008C2FF1">
        <w:rPr>
          <w:rFonts w:ascii="Times New Roman" w:hAnsi="Times New Roman" w:cs="Times New Roman"/>
          <w:sz w:val="30"/>
          <w:szCs w:val="30"/>
        </w:rPr>
        <w:t xml:space="preserve">1 132 122 </w:t>
      </w:r>
      <w:r w:rsidRPr="008C2FF1">
        <w:rPr>
          <w:rFonts w:ascii="Times New Roman" w:hAnsi="Times New Roman" w:cs="Times New Roman"/>
          <w:sz w:val="30"/>
          <w:szCs w:val="30"/>
        </w:rPr>
        <w:t>(</w:t>
      </w:r>
      <w:r w:rsidR="006B2A75" w:rsidRPr="008C2FF1">
        <w:rPr>
          <w:rFonts w:ascii="Times New Roman" w:hAnsi="Times New Roman" w:cs="Times New Roman"/>
          <w:sz w:val="30"/>
          <w:szCs w:val="30"/>
        </w:rPr>
        <w:t xml:space="preserve">один миллион сто тридцать две </w:t>
      </w:r>
      <w:r w:rsidRPr="008C2FF1">
        <w:rPr>
          <w:rFonts w:ascii="Times New Roman" w:hAnsi="Times New Roman" w:cs="Times New Roman"/>
          <w:sz w:val="30"/>
          <w:szCs w:val="30"/>
        </w:rPr>
        <w:t>тысячи</w:t>
      </w:r>
      <w:r w:rsidR="00EF7DF6">
        <w:rPr>
          <w:rFonts w:ascii="Times New Roman" w:hAnsi="Times New Roman" w:cs="Times New Roman"/>
          <w:sz w:val="30"/>
          <w:szCs w:val="30"/>
        </w:rPr>
        <w:t xml:space="preserve"> сто двадцать два) рублей</w:t>
      </w:r>
      <w:r w:rsidRPr="008C2FF1">
        <w:rPr>
          <w:rFonts w:ascii="Times New Roman" w:hAnsi="Times New Roman" w:cs="Times New Roman"/>
          <w:sz w:val="30"/>
          <w:szCs w:val="30"/>
        </w:rPr>
        <w:t xml:space="preserve"> 00 копеек.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8C2FF1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условия</w:t>
        </w:r>
      </w:hyperlink>
      <w:r w:rsidRPr="008C2FF1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8C2FF1">
        <w:rPr>
          <w:rFonts w:ascii="Times New Roman" w:hAnsi="Times New Roman" w:cs="Times New Roman"/>
          <w:sz w:val="30"/>
          <w:szCs w:val="30"/>
        </w:rPr>
        <w:t>о</w:t>
      </w:r>
      <w:r w:rsidRPr="008C2FF1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4. Департаменту градостроительства администрации города в</w:t>
      </w:r>
      <w:r w:rsidRPr="008C2FF1">
        <w:rPr>
          <w:rFonts w:ascii="Times New Roman" w:hAnsi="Times New Roman" w:cs="Times New Roman"/>
          <w:sz w:val="30"/>
          <w:szCs w:val="30"/>
        </w:rPr>
        <w:t>ы</w:t>
      </w:r>
      <w:r w:rsidRPr="008C2FF1">
        <w:rPr>
          <w:rFonts w:ascii="Times New Roman" w:hAnsi="Times New Roman" w:cs="Times New Roman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lastRenderedPageBreak/>
        <w:t xml:space="preserve">6. Настоящее распоряжение опубликовать в газете «Городские </w:t>
      </w:r>
      <w:r w:rsidR="00A051B9">
        <w:rPr>
          <w:rFonts w:ascii="Times New Roman" w:hAnsi="Times New Roman" w:cs="Times New Roman"/>
          <w:sz w:val="30"/>
          <w:szCs w:val="30"/>
        </w:rPr>
        <w:t xml:space="preserve">      </w:t>
      </w:r>
      <w:r w:rsidRPr="008C2FF1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7. Контроль за исполнением распоряжения возложить на замест</w:t>
      </w:r>
      <w:r w:rsidRPr="008C2FF1">
        <w:rPr>
          <w:rFonts w:ascii="Times New Roman" w:hAnsi="Times New Roman" w:cs="Times New Roman"/>
          <w:sz w:val="30"/>
          <w:szCs w:val="30"/>
        </w:rPr>
        <w:t>и</w:t>
      </w:r>
      <w:r w:rsidRPr="008C2FF1">
        <w:rPr>
          <w:rFonts w:ascii="Times New Roman" w:hAnsi="Times New Roman" w:cs="Times New Roman"/>
          <w:sz w:val="30"/>
          <w:szCs w:val="30"/>
        </w:rPr>
        <w:t>теля Главы города – руководителя департамента градостроительства  Зуевского М.Ф.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Pr="00DE2EB5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Default="003E79F1" w:rsidP="003E79F1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Э.Ш. Акбулатов</w:t>
      </w:r>
    </w:p>
    <w:p w:rsidR="003E79F1" w:rsidRDefault="003E79F1" w:rsidP="003E79F1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8C2F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8C2FF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8C2F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8C2F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 w:rsidR="008C2FF1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EF7DF6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EF7DF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EF7DF6" w:rsidRDefault="003E79F1" w:rsidP="003E79F1">
      <w:pPr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3E79F1" w:rsidRPr="008C2FF1" w:rsidRDefault="003E79F1" w:rsidP="008C2FF1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           </w:t>
      </w:r>
      <w:r w:rsidR="00D67A62" w:rsidRPr="008C2FF1">
        <w:rPr>
          <w:rFonts w:ascii="Times New Roman" w:hAnsi="Times New Roman" w:cs="Times New Roman"/>
          <w:sz w:val="30"/>
          <w:szCs w:val="30"/>
        </w:rPr>
        <w:t xml:space="preserve">Кировский </w:t>
      </w:r>
      <w:r w:rsidRPr="008C2FF1">
        <w:rPr>
          <w:rFonts w:ascii="Times New Roman" w:hAnsi="Times New Roman" w:cs="Times New Roman"/>
          <w:sz w:val="30"/>
          <w:szCs w:val="30"/>
        </w:rPr>
        <w:t xml:space="preserve">район, </w:t>
      </w:r>
      <w:r w:rsidRPr="008C2FF1">
        <w:rPr>
          <w:rFonts w:ascii="Times New Roman" w:eastAsia="Calibri" w:hAnsi="Times New Roman" w:cs="Times New Roman"/>
          <w:sz w:val="30"/>
          <w:szCs w:val="30"/>
        </w:rPr>
        <w:t>ул.</w:t>
      </w:r>
      <w:r w:rsidR="00D67A62" w:rsidRPr="008C2FF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67A62" w:rsidRPr="008C2FF1">
        <w:rPr>
          <w:rFonts w:ascii="Times New Roman" w:hAnsi="Times New Roman" w:cs="Times New Roman"/>
          <w:sz w:val="30"/>
          <w:szCs w:val="30"/>
        </w:rPr>
        <w:t>Семафорная, 309, 319</w:t>
      </w:r>
      <w:r w:rsidRPr="008C2FF1">
        <w:rPr>
          <w:rFonts w:ascii="Times New Roman" w:hAnsi="Times New Roman" w:cs="Times New Roman"/>
          <w:sz w:val="30"/>
          <w:szCs w:val="30"/>
        </w:rPr>
        <w:t>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8C2FF1">
        <w:rPr>
          <w:rFonts w:ascii="Times New Roman" w:hAnsi="Times New Roman" w:cs="Times New Roman"/>
          <w:sz w:val="30"/>
          <w:szCs w:val="30"/>
        </w:rPr>
        <w:t xml:space="preserve"> 3 459 </w:t>
      </w:r>
      <w:r w:rsidRPr="008C2FF1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 ул. </w:t>
      </w:r>
      <w:r w:rsidR="00D67A62" w:rsidRPr="008C2FF1">
        <w:rPr>
          <w:rFonts w:ascii="Times New Roman" w:hAnsi="Times New Roman" w:cs="Times New Roman"/>
          <w:sz w:val="30"/>
          <w:szCs w:val="30"/>
        </w:rPr>
        <w:t>Семафорная, 309, 319</w:t>
      </w:r>
      <w:r w:rsidRPr="008C2FF1">
        <w:rPr>
          <w:rFonts w:ascii="Times New Roman" w:hAnsi="Times New Roman" w:cs="Times New Roman"/>
          <w:sz w:val="30"/>
          <w:szCs w:val="30"/>
        </w:rPr>
        <w:t>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r w:rsidR="008C2FF1" w:rsidRPr="008C2FF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8C2FF1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8C2FF1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1) подготовить (разработать и направить на утверждение в упра</w:t>
      </w:r>
      <w:r w:rsidRPr="008C2FF1">
        <w:rPr>
          <w:rFonts w:ascii="Times New Roman" w:hAnsi="Times New Roman" w:cs="Times New Roman"/>
          <w:sz w:val="30"/>
          <w:szCs w:val="30"/>
        </w:rPr>
        <w:t>в</w:t>
      </w:r>
      <w:r w:rsidRPr="008C2FF1">
        <w:rPr>
          <w:rFonts w:ascii="Times New Roman" w:hAnsi="Times New Roman" w:cs="Times New Roman"/>
          <w:sz w:val="30"/>
          <w:szCs w:val="30"/>
        </w:rPr>
        <w:t xml:space="preserve">ление архитектуры администрации города) проект планировки                застроенной территории, включая проект межевания застроенной </w:t>
      </w:r>
      <w:r w:rsidR="008C2FF1" w:rsidRPr="008C2F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C2FF1">
        <w:rPr>
          <w:rFonts w:ascii="Times New Roman" w:hAnsi="Times New Roman" w:cs="Times New Roman"/>
          <w:sz w:val="30"/>
          <w:szCs w:val="30"/>
        </w:rPr>
        <w:t>территории, в соответствии с функциональным зонированием, устано</w:t>
      </w:r>
      <w:r w:rsidRPr="008C2FF1">
        <w:rPr>
          <w:rFonts w:ascii="Times New Roman" w:hAnsi="Times New Roman" w:cs="Times New Roman"/>
          <w:sz w:val="30"/>
          <w:szCs w:val="30"/>
        </w:rPr>
        <w:t>в</w:t>
      </w:r>
      <w:r w:rsidRPr="008C2FF1">
        <w:rPr>
          <w:rFonts w:ascii="Times New Roman" w:hAnsi="Times New Roman" w:cs="Times New Roman"/>
          <w:sz w:val="30"/>
          <w:szCs w:val="30"/>
        </w:rPr>
        <w:t>ленным Генеральным</w:t>
      </w:r>
      <w:r w:rsidR="00EF7DF6">
        <w:rPr>
          <w:rFonts w:ascii="Times New Roman" w:hAnsi="Times New Roman" w:cs="Times New Roman"/>
          <w:sz w:val="30"/>
          <w:szCs w:val="30"/>
        </w:rPr>
        <w:t xml:space="preserve"> планом городского округа город Красноярск</w:t>
      </w:r>
      <w:r w:rsidRPr="008C2FF1">
        <w:rPr>
          <w:rFonts w:ascii="Times New Roman" w:hAnsi="Times New Roman" w:cs="Times New Roman"/>
          <w:sz w:val="30"/>
          <w:szCs w:val="30"/>
        </w:rPr>
        <w:t xml:space="preserve">, </w:t>
      </w:r>
      <w:r w:rsidR="00EF7DF6">
        <w:rPr>
          <w:rFonts w:ascii="Times New Roman" w:hAnsi="Times New Roman" w:cs="Times New Roman"/>
          <w:sz w:val="30"/>
          <w:szCs w:val="30"/>
        </w:rPr>
        <w:t xml:space="preserve">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градостроительным регламентом и утвержденными администрацией </w:t>
      </w:r>
      <w:r w:rsidR="008C2FF1" w:rsidRPr="008C2FF1">
        <w:rPr>
          <w:rFonts w:ascii="Times New Roman" w:hAnsi="Times New Roman" w:cs="Times New Roman"/>
          <w:sz w:val="30"/>
          <w:szCs w:val="30"/>
        </w:rPr>
        <w:t xml:space="preserve">  </w:t>
      </w:r>
      <w:r w:rsidRPr="008C2FF1">
        <w:rPr>
          <w:rFonts w:ascii="Times New Roman" w:hAnsi="Times New Roman" w:cs="Times New Roman"/>
          <w:sz w:val="30"/>
          <w:szCs w:val="30"/>
        </w:rPr>
        <w:t>города расчетными показателями обеспечения застроенной территории объектами социального и коммунально-бытового назначения, объект</w:t>
      </w:r>
      <w:r w:rsidRPr="008C2FF1">
        <w:rPr>
          <w:rFonts w:ascii="Times New Roman" w:hAnsi="Times New Roman" w:cs="Times New Roman"/>
          <w:sz w:val="30"/>
          <w:szCs w:val="30"/>
        </w:rPr>
        <w:t>а</w:t>
      </w:r>
      <w:r w:rsidRPr="008C2FF1">
        <w:rPr>
          <w:rFonts w:ascii="Times New Roman" w:hAnsi="Times New Roman" w:cs="Times New Roman"/>
          <w:sz w:val="30"/>
          <w:szCs w:val="30"/>
        </w:rPr>
        <w:t>ми инженерной инфраструктуры не позднее одного года с даты закл</w:t>
      </w:r>
      <w:r w:rsidRPr="008C2FF1">
        <w:rPr>
          <w:rFonts w:ascii="Times New Roman" w:hAnsi="Times New Roman" w:cs="Times New Roman"/>
          <w:sz w:val="30"/>
          <w:szCs w:val="30"/>
        </w:rPr>
        <w:t>ю</w:t>
      </w:r>
      <w:r w:rsidRPr="008C2FF1">
        <w:rPr>
          <w:rFonts w:ascii="Times New Roman" w:hAnsi="Times New Roman" w:cs="Times New Roman"/>
          <w:sz w:val="30"/>
          <w:szCs w:val="30"/>
        </w:rPr>
        <w:t>чения Договора;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8C2FF1">
        <w:rPr>
          <w:rFonts w:ascii="Times New Roman" w:hAnsi="Times New Roman" w:cs="Times New Roman"/>
          <w:sz w:val="30"/>
          <w:szCs w:val="30"/>
        </w:rPr>
        <w:t>у</w:t>
      </w:r>
      <w:r w:rsidRPr="008C2FF1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8C2FF1">
        <w:rPr>
          <w:rFonts w:ascii="Times New Roman" w:hAnsi="Times New Roman" w:cs="Times New Roman"/>
          <w:sz w:val="30"/>
          <w:szCs w:val="30"/>
        </w:rPr>
        <w:t>с</w:t>
      </w:r>
      <w:r w:rsidRPr="008C2FF1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8C2FF1">
        <w:rPr>
          <w:rFonts w:ascii="Times New Roman" w:hAnsi="Times New Roman" w:cs="Times New Roman"/>
          <w:sz w:val="30"/>
          <w:szCs w:val="30"/>
        </w:rPr>
        <w:t>р</w:t>
      </w:r>
      <w:r w:rsidRPr="008C2FF1">
        <w:rPr>
          <w:rFonts w:ascii="Times New Roman" w:hAnsi="Times New Roman" w:cs="Times New Roman"/>
          <w:sz w:val="30"/>
          <w:szCs w:val="30"/>
        </w:rPr>
        <w:t xml:space="preserve">ска, в целях дальнейшего предоставления гражданам, выселяемым </w:t>
      </w:r>
      <w:r w:rsidR="008C2FF1" w:rsidRPr="008C2F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C2FF1">
        <w:rPr>
          <w:rFonts w:ascii="Times New Roman" w:hAnsi="Times New Roman" w:cs="Times New Roman"/>
          <w:sz w:val="30"/>
          <w:szCs w:val="30"/>
        </w:rPr>
        <w:t>из жилых помещений многоквартирного дома, признанного аварийным и подлежащим сносу, предоставленных по договорам социального на</w:t>
      </w:r>
      <w:r w:rsidRPr="008C2FF1">
        <w:rPr>
          <w:rFonts w:ascii="Times New Roman" w:hAnsi="Times New Roman" w:cs="Times New Roman"/>
          <w:sz w:val="30"/>
          <w:szCs w:val="30"/>
        </w:rPr>
        <w:t>й</w:t>
      </w:r>
      <w:r w:rsidRPr="008C2FF1">
        <w:rPr>
          <w:rFonts w:ascii="Times New Roman" w:hAnsi="Times New Roman" w:cs="Times New Roman"/>
          <w:sz w:val="30"/>
          <w:szCs w:val="30"/>
        </w:rPr>
        <w:t>ма, договорам найма специализированного жилого помещения и расп</w:t>
      </w:r>
      <w:r w:rsidRPr="008C2FF1">
        <w:rPr>
          <w:rFonts w:ascii="Times New Roman" w:hAnsi="Times New Roman" w:cs="Times New Roman"/>
          <w:sz w:val="30"/>
          <w:szCs w:val="30"/>
        </w:rPr>
        <w:t>о</w:t>
      </w:r>
      <w:r w:rsidRPr="008C2FF1">
        <w:rPr>
          <w:rFonts w:ascii="Times New Roman" w:hAnsi="Times New Roman" w:cs="Times New Roman"/>
          <w:sz w:val="30"/>
          <w:szCs w:val="30"/>
        </w:rPr>
        <w:t xml:space="preserve">ложенных в границах застроенной территории по ул.  </w:t>
      </w:r>
      <w:r w:rsidR="00EF7DF6">
        <w:rPr>
          <w:rFonts w:ascii="Times New Roman" w:hAnsi="Times New Roman" w:cs="Times New Roman"/>
          <w:sz w:val="30"/>
          <w:szCs w:val="30"/>
        </w:rPr>
        <w:t>Семафорной</w:t>
      </w:r>
      <w:r w:rsidR="00CE5D01" w:rsidRPr="008C2FF1">
        <w:rPr>
          <w:rFonts w:ascii="Times New Roman" w:hAnsi="Times New Roman" w:cs="Times New Roman"/>
          <w:sz w:val="30"/>
          <w:szCs w:val="30"/>
        </w:rPr>
        <w:t>, 319</w:t>
      </w:r>
      <w:r w:rsidR="00EF7DF6">
        <w:rPr>
          <w:rFonts w:ascii="Times New Roman" w:hAnsi="Times New Roman" w:cs="Times New Roman"/>
          <w:sz w:val="30"/>
          <w:szCs w:val="30"/>
        </w:rPr>
        <w:t>,</w:t>
      </w:r>
      <w:r w:rsidR="00CE5D01" w:rsidRPr="008C2FF1">
        <w:rPr>
          <w:rFonts w:ascii="Times New Roman" w:hAnsi="Times New Roman" w:cs="Times New Roman"/>
          <w:sz w:val="30"/>
          <w:szCs w:val="30"/>
        </w:rPr>
        <w:t xml:space="preserve"> </w:t>
      </w:r>
      <w:r w:rsidRPr="008C2FF1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243920" w:rsidRPr="008C2FF1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Pr="008C2FF1">
        <w:rPr>
          <w:rFonts w:ascii="Times New Roman" w:hAnsi="Times New Roman" w:cs="Times New Roman"/>
          <w:sz w:val="30"/>
          <w:szCs w:val="30"/>
        </w:rPr>
        <w:t xml:space="preserve">лет со дня подписания Договора в соответствии </w:t>
      </w:r>
      <w:r w:rsidR="008C2FF1" w:rsidRPr="008C2FF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C2FF1">
        <w:rPr>
          <w:rFonts w:ascii="Times New Roman" w:hAnsi="Times New Roman" w:cs="Times New Roman"/>
          <w:sz w:val="30"/>
          <w:szCs w:val="30"/>
        </w:rPr>
        <w:t>с приложением 1 к настоящим существенным условиям Договора.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Перечень благоустроенных жилых помещений, подлежащих пер</w:t>
      </w:r>
      <w:r w:rsidRPr="008C2FF1">
        <w:rPr>
          <w:rFonts w:ascii="Times New Roman" w:hAnsi="Times New Roman" w:cs="Times New Roman"/>
          <w:sz w:val="30"/>
          <w:szCs w:val="30"/>
        </w:rPr>
        <w:t>е</w:t>
      </w:r>
      <w:r w:rsidRPr="008C2FF1">
        <w:rPr>
          <w:rFonts w:ascii="Times New Roman" w:hAnsi="Times New Roman" w:cs="Times New Roman"/>
          <w:sz w:val="30"/>
          <w:szCs w:val="30"/>
        </w:rPr>
        <w:t xml:space="preserve">даче в муниципальную собственность, подлежит изменению сторонами на основе заключенного дополнительного соглашения (дополнительных </w:t>
      </w:r>
      <w:r w:rsidRPr="008C2FF1">
        <w:rPr>
          <w:rFonts w:ascii="Times New Roman" w:hAnsi="Times New Roman" w:cs="Times New Roman"/>
          <w:sz w:val="30"/>
          <w:szCs w:val="30"/>
        </w:rPr>
        <w:lastRenderedPageBreak/>
        <w:t>соглашений) к Договору в случае появления правовых оснований, уст</w:t>
      </w:r>
      <w:r w:rsidRPr="008C2FF1">
        <w:rPr>
          <w:rFonts w:ascii="Times New Roman" w:hAnsi="Times New Roman" w:cs="Times New Roman"/>
          <w:sz w:val="30"/>
          <w:szCs w:val="30"/>
        </w:rPr>
        <w:t>а</w:t>
      </w:r>
      <w:r w:rsidRPr="008C2FF1">
        <w:rPr>
          <w:rFonts w:ascii="Times New Roman" w:hAnsi="Times New Roman" w:cs="Times New Roman"/>
          <w:sz w:val="30"/>
          <w:szCs w:val="30"/>
        </w:rPr>
        <w:t xml:space="preserve">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обязанность по предоставлению гражданам по договорам социального найма, договорам найма специализированного жилого помещения, </w:t>
      </w:r>
      <w:r w:rsidR="008C2FF1" w:rsidRPr="008C2FF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8C2FF1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многоквартирном доме, признанном аварийным и подлежащим</w:t>
      </w:r>
      <w:r w:rsidRPr="008C2FF1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9B6277" w:rsidRPr="008C2FF1">
        <w:rPr>
          <w:rFonts w:ascii="Times New Roman" w:hAnsi="Times New Roman" w:cs="Times New Roman"/>
          <w:sz w:val="30"/>
          <w:szCs w:val="30"/>
        </w:rPr>
        <w:t>по ул. Семафор</w:t>
      </w:r>
      <w:r w:rsidR="008C2FF1" w:rsidRPr="008C2FF1">
        <w:rPr>
          <w:rFonts w:ascii="Times New Roman" w:hAnsi="Times New Roman" w:cs="Times New Roman"/>
          <w:sz w:val="30"/>
          <w:szCs w:val="30"/>
        </w:rPr>
        <w:t>-</w:t>
      </w:r>
      <w:r w:rsidR="009B6277" w:rsidRPr="008C2FF1">
        <w:rPr>
          <w:rFonts w:ascii="Times New Roman" w:hAnsi="Times New Roman" w:cs="Times New Roman"/>
          <w:sz w:val="30"/>
          <w:szCs w:val="30"/>
        </w:rPr>
        <w:t xml:space="preserve">ной, 319, </w:t>
      </w:r>
      <w:r w:rsidR="00EF7DF6">
        <w:rPr>
          <w:rFonts w:ascii="Times New Roman" w:hAnsi="Times New Roman" w:cs="Times New Roman"/>
          <w:sz w:val="30"/>
          <w:szCs w:val="30"/>
        </w:rPr>
        <w:t>представлен</w:t>
      </w:r>
      <w:r w:rsidRPr="008C2FF1">
        <w:rPr>
          <w:rFonts w:ascii="Times New Roman" w:hAnsi="Times New Roman" w:cs="Times New Roman"/>
          <w:sz w:val="30"/>
          <w:szCs w:val="30"/>
        </w:rPr>
        <w:t xml:space="preserve"> в приложении 2 к настоящим существенным условиям Договора.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8C2FF1">
        <w:rPr>
          <w:rFonts w:ascii="Times New Roman" w:hAnsi="Times New Roman" w:cs="Times New Roman"/>
          <w:sz w:val="30"/>
          <w:szCs w:val="30"/>
        </w:rPr>
        <w:t>,</w:t>
      </w:r>
      <w:r w:rsidRPr="008C2FF1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8C2FF1">
        <w:rPr>
          <w:rFonts w:ascii="Times New Roman" w:hAnsi="Times New Roman" w:cs="Times New Roman"/>
          <w:sz w:val="30"/>
          <w:szCs w:val="30"/>
        </w:rPr>
        <w:t xml:space="preserve">расположенные </w:t>
      </w:r>
      <w:r w:rsidRPr="008C2FF1">
        <w:rPr>
          <w:rFonts w:ascii="Times New Roman" w:hAnsi="Times New Roman" w:cs="Times New Roman"/>
          <w:sz w:val="30"/>
          <w:szCs w:val="30"/>
        </w:rPr>
        <w:t>в многоквартирном доме, признанном аварийным и подлежащим сносу, в границах застроенной территории                 по ул. </w:t>
      </w:r>
      <w:r w:rsidR="00E06230" w:rsidRPr="008C2FF1">
        <w:rPr>
          <w:rFonts w:ascii="Times New Roman" w:hAnsi="Times New Roman" w:cs="Times New Roman"/>
          <w:sz w:val="30"/>
          <w:szCs w:val="30"/>
        </w:rPr>
        <w:t xml:space="preserve"> Семафорной, 319</w:t>
      </w:r>
      <w:r w:rsidRPr="008C2FF1">
        <w:rPr>
          <w:rFonts w:ascii="Times New Roman" w:hAnsi="Times New Roman" w:cs="Times New Roman"/>
          <w:sz w:val="30"/>
          <w:szCs w:val="30"/>
        </w:rPr>
        <w:t xml:space="preserve">, </w:t>
      </w:r>
      <w:r w:rsidR="00EF7DF6">
        <w:rPr>
          <w:rFonts w:ascii="Times New Roman" w:hAnsi="Times New Roman" w:cs="Times New Roman"/>
          <w:sz w:val="30"/>
          <w:szCs w:val="30"/>
        </w:rPr>
        <w:t>указанные в п</w:t>
      </w:r>
      <w:r w:rsidR="004B106D" w:rsidRPr="008C2FF1">
        <w:rPr>
          <w:rFonts w:ascii="Times New Roman" w:hAnsi="Times New Roman" w:cs="Times New Roman"/>
          <w:sz w:val="30"/>
          <w:szCs w:val="30"/>
        </w:rPr>
        <w:t xml:space="preserve">риложении 2 к настоящим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B106D" w:rsidRPr="008C2FF1">
        <w:rPr>
          <w:rFonts w:ascii="Times New Roman" w:hAnsi="Times New Roman" w:cs="Times New Roman"/>
          <w:sz w:val="30"/>
          <w:szCs w:val="30"/>
        </w:rPr>
        <w:t xml:space="preserve">существенным условиям Договорам, </w:t>
      </w:r>
      <w:r w:rsidRPr="008C2FF1">
        <w:rPr>
          <w:rFonts w:ascii="Times New Roman" w:hAnsi="Times New Roman" w:cs="Times New Roman"/>
          <w:sz w:val="30"/>
          <w:szCs w:val="30"/>
        </w:rPr>
        <w:t xml:space="preserve">и земельный участок, на котором он расположен (за исключением жилых помещений и земельных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4) осуществить снос многоквартирного дома, признанного аварийным и подлежащему сносу, расположенного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дома в связи с его освобождением всеми гражданами, проживавшими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в данном доме;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5) </w:t>
      </w:r>
      <w:r w:rsidRPr="008C2FF1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 на застроенной территории в соответствии с утвержденным проектом планировки</w:t>
      </w:r>
      <w:r w:rsidRPr="008C2FF1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8C2FF1">
        <w:rPr>
          <w:rFonts w:ascii="Times New Roman" w:eastAsiaTheme="minorHAnsi" w:hAnsi="Times New Roman" w:cs="Times New Roman"/>
          <w:sz w:val="30"/>
          <w:szCs w:val="30"/>
        </w:rPr>
        <w:t xml:space="preserve"> застроенной территории</w:t>
      </w:r>
      <w:r w:rsidRPr="008C2FF1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7A5D9D" w:rsidRPr="008C2FF1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8C2FF1">
        <w:rPr>
          <w:rFonts w:ascii="Times New Roman" w:hAnsi="Times New Roman" w:cs="Times New Roman"/>
          <w:sz w:val="30"/>
          <w:szCs w:val="30"/>
        </w:rPr>
        <w:t>лет со дня подписания Договора;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</w:t>
      </w:r>
      <w:r w:rsidR="007A5D9D" w:rsidRPr="008C2FF1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8C2FF1">
        <w:rPr>
          <w:rFonts w:ascii="Times New Roman" w:hAnsi="Times New Roman" w:cs="Times New Roman"/>
          <w:sz w:val="30"/>
          <w:szCs w:val="30"/>
        </w:rPr>
        <w:t xml:space="preserve">лет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C2FF1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C2FF1">
        <w:rPr>
          <w:rFonts w:ascii="Times New Roman" w:hAnsi="Times New Roman" w:cs="Times New Roman"/>
          <w:sz w:val="30"/>
          <w:szCs w:val="30"/>
        </w:rPr>
        <w:t>застроенной территории, по окончан</w:t>
      </w:r>
      <w:r w:rsidR="007A5D9D" w:rsidRPr="008C2FF1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8C2FF1">
        <w:rPr>
          <w:rFonts w:ascii="Times New Roman" w:hAnsi="Times New Roman" w:cs="Times New Roman"/>
          <w:sz w:val="30"/>
          <w:szCs w:val="30"/>
        </w:rPr>
        <w:t xml:space="preserve">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четырех месяцев с даты получения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2) утвердить в установленном порядке проект планировки </w:t>
      </w:r>
      <w:r w:rsidR="004C5FE1" w:rsidRPr="008C2FF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C2FF1">
        <w:rPr>
          <w:rFonts w:ascii="Times New Roman" w:hAnsi="Times New Roman" w:cs="Times New Roman"/>
          <w:sz w:val="30"/>
          <w:szCs w:val="30"/>
        </w:rPr>
        <w:t>застроенной территории, включая проект межевания застроенной территории, подготовленный в соответствии с функциональным зонированием, установленным Генеральным</w:t>
      </w:r>
      <w:r w:rsidR="00EF7DF6">
        <w:rPr>
          <w:rFonts w:ascii="Times New Roman" w:hAnsi="Times New Roman" w:cs="Times New Roman"/>
          <w:sz w:val="30"/>
          <w:szCs w:val="30"/>
        </w:rPr>
        <w:t xml:space="preserve"> планом городского округа город Красноярск</w:t>
      </w:r>
      <w:r w:rsidRPr="008C2FF1">
        <w:rPr>
          <w:rFonts w:ascii="Times New Roman" w:hAnsi="Times New Roman" w:cs="Times New Roman"/>
          <w:sz w:val="30"/>
          <w:szCs w:val="30"/>
        </w:rPr>
        <w:t xml:space="preserve">, с градостроительным регламентом и утвержденными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C2FF1">
        <w:rPr>
          <w:rFonts w:ascii="Times New Roman" w:hAnsi="Times New Roman" w:cs="Times New Roman"/>
          <w:sz w:val="30"/>
          <w:szCs w:val="30"/>
        </w:rPr>
        <w:t>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 месяцев со дня проведения публичных слушаний по представленному в полном объеме проекту планировки застроенной территории, включая проект межевания застроенной территории;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3) принять в установленном порядке решение об изъятии для муниципальных нужд жилых помещений в многоквартирных домах,                признанных аварийными и подлежащими сносу и расположенных                  на застроенной территории, а также земельных участков, на которых             расположены такие дома, в течение семи месяцев со дня подписания             Договора;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4) предоставить благоустроенные жилые помещения гражданам, выселяемым из жилых помещений в многоквартирном доме, признанном аварийным и подлежащим сносу по ул.</w:t>
      </w:r>
      <w:r w:rsidR="000B76C8" w:rsidRPr="008C2FF1">
        <w:rPr>
          <w:rFonts w:ascii="Times New Roman" w:hAnsi="Times New Roman" w:cs="Times New Roman"/>
          <w:sz w:val="30"/>
          <w:szCs w:val="30"/>
        </w:rPr>
        <w:t xml:space="preserve"> Семафорной, 319</w:t>
      </w:r>
      <w:r w:rsidRPr="008C2FF1">
        <w:rPr>
          <w:rFonts w:ascii="Times New Roman" w:hAnsi="Times New Roman" w:cs="Times New Roman"/>
          <w:sz w:val="30"/>
          <w:szCs w:val="30"/>
        </w:rPr>
        <w:t xml:space="preserve">, </w:t>
      </w:r>
      <w:r w:rsidR="00EF7DF6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заключившим Договор, в муниципальную собственность благоустроенных жилых помещений.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</w:t>
      </w:r>
      <w:r w:rsidRPr="008C2FF1">
        <w:rPr>
          <w:rFonts w:ascii="Times New Roman" w:hAnsi="Times New Roman" w:cs="Times New Roman"/>
          <w:sz w:val="30"/>
          <w:szCs w:val="30"/>
        </w:rPr>
        <w:t>в многоквартирных домах, признанных аварийными и подлежащи</w:t>
      </w:r>
      <w:r w:rsidR="008C2FF1">
        <w:rPr>
          <w:rFonts w:ascii="Times New Roman" w:hAnsi="Times New Roman" w:cs="Times New Roman"/>
          <w:sz w:val="30"/>
          <w:szCs w:val="30"/>
        </w:rPr>
        <w:t xml:space="preserve">-               </w:t>
      </w:r>
      <w:r w:rsidRPr="008C2FF1">
        <w:rPr>
          <w:rFonts w:ascii="Times New Roman" w:hAnsi="Times New Roman" w:cs="Times New Roman"/>
          <w:sz w:val="30"/>
          <w:szCs w:val="30"/>
        </w:rPr>
        <w:t>ми сносу;</w:t>
      </w:r>
    </w:p>
    <w:p w:rsidR="003F39C5" w:rsidRPr="008C2FF1" w:rsidRDefault="003E79F1" w:rsidP="008C2FF1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5) осуществить переселение граждан из жилых помещений в много</w:t>
      </w:r>
      <w:r w:rsidR="003F39C5" w:rsidRPr="008C2FF1">
        <w:rPr>
          <w:rFonts w:ascii="Times New Roman" w:hAnsi="Times New Roman" w:cs="Times New Roman"/>
          <w:sz w:val="30"/>
          <w:szCs w:val="30"/>
        </w:rPr>
        <w:t>квартирном доме</w:t>
      </w:r>
      <w:r w:rsidRPr="008C2FF1">
        <w:rPr>
          <w:rFonts w:ascii="Times New Roman" w:hAnsi="Times New Roman" w:cs="Times New Roman"/>
          <w:sz w:val="30"/>
          <w:szCs w:val="30"/>
        </w:rPr>
        <w:t>,</w:t>
      </w:r>
      <w:r w:rsidR="003F39C5" w:rsidRPr="008C2FF1">
        <w:rPr>
          <w:rFonts w:ascii="Times New Roman" w:hAnsi="Times New Roman" w:cs="Times New Roman"/>
          <w:sz w:val="30"/>
          <w:szCs w:val="30"/>
        </w:rPr>
        <w:t xml:space="preserve"> признанном аварийным и подлежащим</w:t>
      </w:r>
      <w:r w:rsidRPr="008C2FF1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671A7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C2FF1">
        <w:rPr>
          <w:rFonts w:ascii="Times New Roman" w:hAnsi="Times New Roman" w:cs="Times New Roman"/>
          <w:sz w:val="30"/>
          <w:szCs w:val="30"/>
        </w:rPr>
        <w:t>рас</w:t>
      </w:r>
      <w:r w:rsidR="003F39C5" w:rsidRPr="008C2FF1">
        <w:rPr>
          <w:rFonts w:ascii="Times New Roman" w:hAnsi="Times New Roman" w:cs="Times New Roman"/>
          <w:sz w:val="30"/>
          <w:szCs w:val="30"/>
        </w:rPr>
        <w:t>положенном</w:t>
      </w:r>
      <w:r w:rsidRPr="008C2FF1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E90E86" w:rsidRPr="008C2FF1">
        <w:rPr>
          <w:rFonts w:ascii="Times New Roman" w:hAnsi="Times New Roman" w:cs="Times New Roman"/>
          <w:sz w:val="30"/>
          <w:szCs w:val="30"/>
        </w:rPr>
        <w:t xml:space="preserve"> по ул. Семафор</w:t>
      </w:r>
      <w:r w:rsidR="008C2FF1">
        <w:rPr>
          <w:rFonts w:ascii="Times New Roman" w:hAnsi="Times New Roman" w:cs="Times New Roman"/>
          <w:sz w:val="30"/>
          <w:szCs w:val="30"/>
        </w:rPr>
        <w:t xml:space="preserve">-               </w:t>
      </w:r>
      <w:r w:rsidR="00E90E86" w:rsidRPr="008C2FF1">
        <w:rPr>
          <w:rFonts w:ascii="Times New Roman" w:hAnsi="Times New Roman" w:cs="Times New Roman"/>
          <w:sz w:val="30"/>
          <w:szCs w:val="30"/>
        </w:rPr>
        <w:t>ной, 309</w:t>
      </w:r>
      <w:r w:rsidRPr="008C2FF1">
        <w:rPr>
          <w:rFonts w:ascii="Times New Roman" w:hAnsi="Times New Roman" w:cs="Times New Roman"/>
          <w:sz w:val="30"/>
          <w:szCs w:val="30"/>
        </w:rPr>
        <w:t xml:space="preserve">, в течение одного года со дня подписания Договора в соответствии с региональной адресной программой «Переселение граждан </w:t>
      </w:r>
      <w:r w:rsidR="00671A7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из аварийного жилищного фонда в Красноярском крае» на 2013–2017 </w:t>
      </w:r>
      <w:r w:rsidR="00671A7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годы, утвержденной </w:t>
      </w:r>
      <w:r w:rsidRPr="008C2FF1">
        <w:rPr>
          <w:rFonts w:ascii="Times New Roman" w:eastAsiaTheme="minorHAnsi" w:hAnsi="Times New Roman" w:cs="Times New Roman"/>
          <w:sz w:val="30"/>
          <w:szCs w:val="30"/>
        </w:rPr>
        <w:t>постановлением Правительства Красноярского края от 06.05.2013 № 228-п</w:t>
      </w:r>
      <w:r w:rsidR="003F39C5" w:rsidRPr="008C2FF1">
        <w:rPr>
          <w:rFonts w:ascii="Times New Roman" w:eastAsiaTheme="minorHAnsi" w:hAnsi="Times New Roman" w:cs="Times New Roman"/>
          <w:sz w:val="30"/>
          <w:szCs w:val="30"/>
        </w:rPr>
        <w:t>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1"/>
      <w:bookmarkEnd w:id="1"/>
      <w:r w:rsidRPr="008C2FF1">
        <w:rPr>
          <w:rFonts w:ascii="Times New Roman" w:hAnsi="Times New Roman" w:cs="Times New Roman"/>
          <w:sz w:val="30"/>
          <w:szCs w:val="30"/>
        </w:rPr>
        <w:t>Осуществлением переселения в соответствии с настоящим пунктом существенных условий Договора является регистрация права муниципальной собственности на последнее помещение в многоквартирном доме, признанном аварийным и подлежащим сносу;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6) выкупить за счет лица, заключившего Договор, жилые помещения в многоквартирном доме, признанном аварийным и подлежащим сносу, расположенном в границах застроенной территории по ул.</w:t>
      </w:r>
      <w:r w:rsidR="00D64D07" w:rsidRPr="008C2FF1">
        <w:rPr>
          <w:rFonts w:ascii="Times New Roman" w:hAnsi="Times New Roman" w:cs="Times New Roman"/>
          <w:sz w:val="30"/>
          <w:szCs w:val="30"/>
        </w:rPr>
        <w:t xml:space="preserve"> Семафорной, 319</w:t>
      </w:r>
      <w:r w:rsidRPr="008C2FF1">
        <w:rPr>
          <w:rFonts w:ascii="Times New Roman" w:hAnsi="Times New Roman" w:cs="Times New Roman"/>
          <w:sz w:val="30"/>
          <w:szCs w:val="30"/>
        </w:rPr>
        <w:t xml:space="preserve">, и земельный участок, на котором он расположен, у собственников в течение </w:t>
      </w:r>
      <w:r w:rsidR="007A5D9D" w:rsidRPr="008C2FF1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Pr="008C2FF1">
        <w:rPr>
          <w:rFonts w:ascii="Times New Roman" w:hAnsi="Times New Roman" w:cs="Times New Roman"/>
          <w:sz w:val="30"/>
          <w:szCs w:val="30"/>
        </w:rPr>
        <w:t xml:space="preserve">лет со дня подписания Договора.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многоквартирных домах, признанных ава</w:t>
      </w:r>
      <w:r w:rsidR="00EF7DF6">
        <w:rPr>
          <w:rFonts w:ascii="Times New Roman" w:hAnsi="Times New Roman" w:cs="Times New Roman"/>
          <w:sz w:val="30"/>
          <w:szCs w:val="30"/>
        </w:rPr>
        <w:t>рийными и подлежащими</w:t>
      </w:r>
      <w:r w:rsidRPr="008C2FF1">
        <w:rPr>
          <w:rFonts w:ascii="Times New Roman" w:hAnsi="Times New Roman" w:cs="Times New Roman"/>
          <w:sz w:val="30"/>
          <w:szCs w:val="30"/>
        </w:rPr>
        <w:t xml:space="preserve"> сносу, расположенных в границах застроенной территории, и земельных участков, на которых они расположены, договоров (соглашений),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выплата возмещения на основании вступившего в законную силу </w:t>
      </w:r>
      <w:r w:rsidR="00EF7DF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C2FF1">
        <w:rPr>
          <w:rFonts w:ascii="Times New Roman" w:hAnsi="Times New Roman" w:cs="Times New Roman"/>
          <w:sz w:val="30"/>
          <w:szCs w:val="30"/>
        </w:rPr>
        <w:t xml:space="preserve">судебного решения;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7)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 лицам. 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CD400B" w:rsidRPr="008C2FF1">
        <w:rPr>
          <w:rFonts w:ascii="Times New Roman" w:hAnsi="Times New Roman" w:cs="Times New Roman"/>
          <w:sz w:val="30"/>
          <w:szCs w:val="30"/>
        </w:rPr>
        <w:t xml:space="preserve">семь </w:t>
      </w:r>
      <w:r w:rsidRPr="008C2FF1">
        <w:rPr>
          <w:rFonts w:ascii="Times New Roman" w:hAnsi="Times New Roman" w:cs="Times New Roman"/>
          <w:sz w:val="30"/>
          <w:szCs w:val="30"/>
        </w:rPr>
        <w:t>лет.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8. В случае неисполнения или ненадлежащего исполнения обязательств по Договору стороны несут ответственность в соответствии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C2FF1">
        <w:rPr>
          <w:rFonts w:ascii="Times New Roman" w:hAnsi="Times New Roman" w:cs="Times New Roman"/>
          <w:sz w:val="30"/>
          <w:szCs w:val="30"/>
        </w:rPr>
        <w:t>с законодательством и Договором.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</w:t>
      </w:r>
      <w:r w:rsidR="008C2FF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C2FF1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</w:p>
    <w:p w:rsidR="003E79F1" w:rsidRPr="008C2FF1" w:rsidRDefault="003E79F1" w:rsidP="008C2F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2FF1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F7DF6" w:rsidRDefault="00EF7DF6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EF7DF6" w:rsidRDefault="00EF7DF6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8C2FF1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8C2F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</w:t>
      </w:r>
    </w:p>
    <w:p w:rsidR="003E79F1" w:rsidRPr="007C1E18" w:rsidRDefault="003E79F1" w:rsidP="008C2F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безвозмездной 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8C2FF1" w:rsidRDefault="008C2FF1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8C2FF1" w:rsidRPr="009D4DA3" w:rsidRDefault="008C2FF1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1559"/>
        <w:gridCol w:w="2268"/>
        <w:gridCol w:w="1276"/>
        <w:gridCol w:w="1701"/>
      </w:tblGrid>
      <w:tr w:rsidR="009D4DA3" w:rsidRPr="009D4DA3" w:rsidTr="00671A7B">
        <w:trPr>
          <w:trHeight w:val="384"/>
        </w:trPr>
        <w:tc>
          <w:tcPr>
            <w:tcW w:w="709" w:type="dxa"/>
            <w:vMerge w:val="restart"/>
          </w:tcPr>
          <w:p w:rsidR="009D4DA3" w:rsidRPr="009D4DA3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71A7B" w:rsidRDefault="00EF7DF6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A051B9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комнат</w:t>
            </w:r>
          </w:p>
          <w:p w:rsidR="001C4D25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 жилом </w:t>
            </w:r>
          </w:p>
          <w:p w:rsidR="009D4DA3" w:rsidRPr="009D4DA3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помещении</w:t>
            </w:r>
          </w:p>
        </w:tc>
        <w:tc>
          <w:tcPr>
            <w:tcW w:w="1559" w:type="dxa"/>
            <w:vMerge w:val="restart"/>
          </w:tcPr>
          <w:p w:rsidR="00671A7B" w:rsidRDefault="00EF7DF6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8C2FF1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жилых </w:t>
            </w:r>
          </w:p>
          <w:p w:rsidR="009D4DA3" w:rsidRPr="009D4DA3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помещений</w:t>
            </w:r>
          </w:p>
        </w:tc>
        <w:tc>
          <w:tcPr>
            <w:tcW w:w="2268" w:type="dxa"/>
            <w:vMerge w:val="restart"/>
          </w:tcPr>
          <w:p w:rsidR="009D4DA3" w:rsidRPr="009D4DA3" w:rsidRDefault="00FA7D2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 xml:space="preserve">площадь жилого помещения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9D4DA3" w:rsidRPr="009D4DA3">
              <w:rPr>
                <w:sz w:val="30"/>
                <w:szCs w:val="30"/>
              </w:rPr>
              <w:t xml:space="preserve">(не менее </w:t>
            </w:r>
            <w:r w:rsidR="00EF7DF6">
              <w:rPr>
                <w:sz w:val="30"/>
                <w:szCs w:val="30"/>
              </w:rPr>
              <w:t>кв. м</w:t>
            </w:r>
            <w:r w:rsidR="009D4DA3" w:rsidRPr="009D4DA3">
              <w:rPr>
                <w:sz w:val="30"/>
                <w:szCs w:val="30"/>
              </w:rPr>
              <w:t>)</w:t>
            </w:r>
          </w:p>
        </w:tc>
        <w:tc>
          <w:tcPr>
            <w:tcW w:w="2977" w:type="dxa"/>
            <w:gridSpan w:val="2"/>
          </w:tcPr>
          <w:p w:rsidR="009D4DA3" w:rsidRPr="009D4DA3" w:rsidRDefault="00EF7DF6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1C4D25" w:rsidRPr="009D4DA3" w:rsidTr="00671A7B">
        <w:trPr>
          <w:trHeight w:val="720"/>
        </w:trPr>
        <w:tc>
          <w:tcPr>
            <w:tcW w:w="709" w:type="dxa"/>
            <w:vMerge/>
          </w:tcPr>
          <w:p w:rsidR="009D4DA3" w:rsidRPr="009D4DA3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9D4DA3" w:rsidRPr="009D4DA3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D4DA3" w:rsidRPr="009D4DA3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8C2FF1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D4DA3" w:rsidRPr="009D4DA3" w:rsidRDefault="009D4DA3" w:rsidP="008C2FF1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701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 w:rsidR="001C4D25">
              <w:rPr>
                <w:sz w:val="30"/>
                <w:szCs w:val="30"/>
              </w:rPr>
              <w:t>т</w:t>
            </w:r>
            <w:r w:rsidRPr="009D4DA3">
              <w:rPr>
                <w:sz w:val="30"/>
                <w:szCs w:val="30"/>
              </w:rPr>
              <w:t>во 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</w:p>
        </w:tc>
      </w:tr>
      <w:tr w:rsidR="009D4DA3" w:rsidRPr="009D4DA3" w:rsidTr="001C4D25">
        <w:tc>
          <w:tcPr>
            <w:tcW w:w="9356" w:type="dxa"/>
            <w:gridSpan w:val="6"/>
          </w:tcPr>
          <w:p w:rsidR="009D4DA3" w:rsidRPr="009D4DA3" w:rsidRDefault="009D4DA3" w:rsidP="008C2FF1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Взамен помещений по ул. Семафорной,</w:t>
            </w:r>
            <w:r w:rsidR="00EF7DF6">
              <w:rPr>
                <w:sz w:val="30"/>
                <w:szCs w:val="30"/>
              </w:rPr>
              <w:t xml:space="preserve"> </w:t>
            </w:r>
            <w:r w:rsidRPr="009D4DA3">
              <w:rPr>
                <w:sz w:val="30"/>
                <w:szCs w:val="30"/>
              </w:rPr>
              <w:t>319</w:t>
            </w:r>
          </w:p>
        </w:tc>
      </w:tr>
      <w:tr w:rsidR="009D4DA3" w:rsidRPr="009D4DA3" w:rsidTr="00671A7B">
        <w:tc>
          <w:tcPr>
            <w:tcW w:w="709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22,70</w:t>
            </w:r>
          </w:p>
        </w:tc>
        <w:tc>
          <w:tcPr>
            <w:tcW w:w="1276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  <w:r w:rsidR="00D059F3">
              <w:rPr>
                <w:sz w:val="30"/>
                <w:szCs w:val="30"/>
              </w:rPr>
              <w:t>,</w:t>
            </w:r>
            <w:r w:rsidRPr="009D4DA3">
              <w:rPr>
                <w:sz w:val="30"/>
                <w:szCs w:val="30"/>
              </w:rPr>
              <w:t xml:space="preserve"> ком</w:t>
            </w:r>
            <w:r w:rsidR="00D059F3">
              <w:rPr>
                <w:sz w:val="30"/>
                <w:szCs w:val="30"/>
              </w:rPr>
              <w:t>н</w:t>
            </w:r>
            <w:r w:rsidR="00513712">
              <w:rPr>
                <w:sz w:val="30"/>
                <w:szCs w:val="30"/>
              </w:rPr>
              <w:t>.</w:t>
            </w:r>
            <w:r w:rsidRPr="009D4DA3">
              <w:rPr>
                <w:sz w:val="30"/>
                <w:szCs w:val="30"/>
              </w:rPr>
              <w:t xml:space="preserve"> </w:t>
            </w:r>
            <w:r w:rsidR="00513712">
              <w:rPr>
                <w:sz w:val="30"/>
                <w:szCs w:val="30"/>
              </w:rPr>
              <w:t>п</w:t>
            </w:r>
            <w:r w:rsidRPr="009D4DA3">
              <w:rPr>
                <w:sz w:val="30"/>
                <w:szCs w:val="30"/>
              </w:rPr>
              <w:t>од</w:t>
            </w:r>
            <w:r w:rsidR="00513712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D4DA3" w:rsidRPr="009D4DA3" w:rsidTr="00671A7B">
        <w:tc>
          <w:tcPr>
            <w:tcW w:w="709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43,80</w:t>
            </w:r>
          </w:p>
        </w:tc>
        <w:tc>
          <w:tcPr>
            <w:tcW w:w="1276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9D4DA3" w:rsidRPr="009D4DA3" w:rsidTr="00671A7B">
        <w:tc>
          <w:tcPr>
            <w:tcW w:w="709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64,60</w:t>
            </w:r>
          </w:p>
        </w:tc>
        <w:tc>
          <w:tcPr>
            <w:tcW w:w="1276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D4DA3" w:rsidRPr="009D4DA3" w:rsidTr="00671A7B">
        <w:tc>
          <w:tcPr>
            <w:tcW w:w="709" w:type="dxa"/>
          </w:tcPr>
          <w:p w:rsidR="009D4DA3" w:rsidRPr="009D4DA3" w:rsidRDefault="00A017EA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9D4DA3" w:rsidRPr="009D4DA3" w:rsidRDefault="00D20361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22,50</w:t>
            </w:r>
          </w:p>
        </w:tc>
        <w:tc>
          <w:tcPr>
            <w:tcW w:w="1276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D4DA3" w:rsidRPr="009D4DA3" w:rsidTr="00671A7B">
        <w:tc>
          <w:tcPr>
            <w:tcW w:w="709" w:type="dxa"/>
          </w:tcPr>
          <w:p w:rsidR="009D4DA3" w:rsidRPr="009D4DA3" w:rsidRDefault="00A017EA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64,30</w:t>
            </w:r>
          </w:p>
        </w:tc>
        <w:tc>
          <w:tcPr>
            <w:tcW w:w="1276" w:type="dxa"/>
          </w:tcPr>
          <w:p w:rsidR="009D4DA3" w:rsidRPr="009D4DA3" w:rsidRDefault="009D4DA3" w:rsidP="001C4D2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7</w:t>
            </w:r>
          </w:p>
        </w:tc>
        <w:tc>
          <w:tcPr>
            <w:tcW w:w="1701" w:type="dxa"/>
          </w:tcPr>
          <w:p w:rsidR="009D4DA3" w:rsidRPr="009D4DA3" w:rsidRDefault="009D4DA3" w:rsidP="001C4D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051B9" w:rsidRDefault="00A051B9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1C4D25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7C1E18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>
        <w:rPr>
          <w:sz w:val="30"/>
          <w:szCs w:val="30"/>
        </w:rPr>
        <w:t>ом</w:t>
      </w:r>
      <w:r w:rsidRPr="007C1E18">
        <w:rPr>
          <w:sz w:val="30"/>
          <w:szCs w:val="30"/>
        </w:rPr>
        <w:t xml:space="preserve"> дом</w:t>
      </w:r>
      <w:r>
        <w:rPr>
          <w:sz w:val="30"/>
          <w:szCs w:val="30"/>
        </w:rPr>
        <w:t>е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признанном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 и подлежащим сносу</w:t>
      </w:r>
      <w:r>
        <w:rPr>
          <w:sz w:val="30"/>
          <w:szCs w:val="30"/>
        </w:rPr>
        <w:t>,</w:t>
      </w:r>
      <w:r w:rsidRPr="007C1E18">
        <w:rPr>
          <w:sz w:val="30"/>
          <w:szCs w:val="30"/>
        </w:rPr>
        <w:t xml:space="preserve"> по ул. </w:t>
      </w:r>
      <w:r w:rsidR="00E4080B" w:rsidRPr="00846822">
        <w:rPr>
          <w:sz w:val="30"/>
          <w:szCs w:val="30"/>
        </w:rPr>
        <w:t>Семафорн</w:t>
      </w:r>
      <w:r w:rsidR="00E4080B">
        <w:rPr>
          <w:sz w:val="30"/>
          <w:szCs w:val="30"/>
        </w:rPr>
        <w:t>ой</w:t>
      </w:r>
      <w:r w:rsidR="00E4080B" w:rsidRPr="00846822">
        <w:rPr>
          <w:sz w:val="30"/>
          <w:szCs w:val="30"/>
        </w:rPr>
        <w:t>,</w:t>
      </w:r>
      <w:r w:rsidR="00671A7B">
        <w:rPr>
          <w:sz w:val="30"/>
          <w:szCs w:val="30"/>
        </w:rPr>
        <w:t xml:space="preserve"> </w:t>
      </w:r>
      <w:r w:rsidR="00E4080B" w:rsidRPr="00846822">
        <w:rPr>
          <w:sz w:val="30"/>
          <w:szCs w:val="30"/>
        </w:rPr>
        <w:t>319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C4D25" w:rsidRDefault="001C4D2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C4D25" w:rsidRPr="002317F5" w:rsidRDefault="001C4D2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418"/>
        <w:gridCol w:w="2410"/>
        <w:gridCol w:w="1984"/>
        <w:gridCol w:w="1276"/>
        <w:gridCol w:w="1701"/>
      </w:tblGrid>
      <w:tr w:rsidR="00AD47F3" w:rsidRPr="002317F5" w:rsidTr="00671A7B">
        <w:trPr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671A7B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помеще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25" w:rsidRDefault="002317F5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Общая площадь жилого</w:t>
            </w:r>
          </w:p>
          <w:p w:rsidR="002317F5" w:rsidRPr="002317F5" w:rsidRDefault="00671A7B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помещения (кв. м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D25" w:rsidRDefault="00671A7B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</w:t>
            </w:r>
          </w:p>
          <w:p w:rsidR="002317F5" w:rsidRPr="002317F5" w:rsidRDefault="002317F5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D25" w:rsidRDefault="00671A7B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</w:t>
            </w:r>
            <w:r w:rsidR="003846B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 жилого</w:t>
            </w:r>
          </w:p>
          <w:p w:rsidR="002317F5" w:rsidRPr="002317F5" w:rsidRDefault="002317F5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</w:tr>
      <w:tr w:rsidR="002317F5" w:rsidRPr="002317F5" w:rsidTr="00671A7B">
        <w:trPr>
          <w:trHeight w:val="504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F3" w:rsidRDefault="00671A7B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C4D25">
              <w:rPr>
                <w:rFonts w:ascii="Times New Roman" w:hAnsi="Times New Roman" w:cs="Times New Roman"/>
                <w:sz w:val="30"/>
                <w:szCs w:val="30"/>
              </w:rPr>
              <w:t>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1C4D25">
              <w:rPr>
                <w:rFonts w:ascii="Times New Roman" w:hAnsi="Times New Roman" w:cs="Times New Roman"/>
                <w:sz w:val="30"/>
                <w:szCs w:val="30"/>
              </w:rPr>
              <w:t xml:space="preserve">ного по договору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</w:t>
            </w:r>
            <w:r w:rsidR="001C4D25">
              <w:rPr>
                <w:rFonts w:ascii="Times New Roman" w:hAnsi="Times New Roman" w:cs="Times New Roman"/>
                <w:sz w:val="30"/>
                <w:szCs w:val="30"/>
              </w:rPr>
              <w:t xml:space="preserve">ального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1C4D25" w:rsidRDefault="00AD47F3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 xml:space="preserve">договору найма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</w:t>
            </w:r>
            <w:r w:rsidR="00BD5D73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специа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лизиро-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</w:p>
          <w:p w:rsidR="002317F5" w:rsidRPr="002317F5" w:rsidRDefault="00AD47F3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1C4D2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гося в соб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ных нужд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059F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D059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bookmarkStart w:id="2" w:name="_GoBack"/>
            <w:bookmarkEnd w:id="2"/>
            <w:r w:rsidR="0051371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под</w:t>
            </w:r>
            <w:r w:rsidR="0051371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8C2FF1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2317F5">
              <w:rPr>
                <w:sz w:val="30"/>
                <w:szCs w:val="30"/>
              </w:rPr>
              <w:t>22,70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2317F5">
              <w:rPr>
                <w:sz w:val="30"/>
                <w:szCs w:val="30"/>
              </w:rPr>
              <w:t>43,80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BC0961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2317F5">
              <w:rPr>
                <w:sz w:val="30"/>
                <w:szCs w:val="30"/>
              </w:rPr>
              <w:t>64,60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71A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671A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AF06FF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AF06FF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71A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671A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2317F5">
              <w:rPr>
                <w:sz w:val="30"/>
                <w:szCs w:val="30"/>
              </w:rPr>
              <w:t>22,50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D20361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71A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671A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2317F5">
              <w:rPr>
                <w:sz w:val="30"/>
                <w:szCs w:val="30"/>
              </w:rPr>
              <w:t>64,30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671A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8C2F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A051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</w:tbl>
    <w:p w:rsidR="002317F5" w:rsidRP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2317F5" w:rsidRDefault="003E79F1" w:rsidP="003E79F1">
      <w:pPr>
        <w:rPr>
          <w:rFonts w:ascii="Times New Roman" w:hAnsi="Times New Roman" w:cs="Times New Roman"/>
          <w:sz w:val="30"/>
          <w:szCs w:val="30"/>
        </w:rPr>
      </w:pPr>
    </w:p>
    <w:p w:rsidR="001F678F" w:rsidRDefault="001F678F"/>
    <w:sectPr w:rsidR="001F678F" w:rsidSect="00EF7DF6">
      <w:type w:val="continuous"/>
      <w:pgSz w:w="11906" w:h="16838"/>
      <w:pgMar w:top="1134" w:right="567" w:bottom="1135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00" w:rsidRDefault="00D47B00" w:rsidP="00BB13CB">
      <w:r>
        <w:separator/>
      </w:r>
    </w:p>
  </w:endnote>
  <w:endnote w:type="continuationSeparator" w:id="0">
    <w:p w:rsidR="00D47B00" w:rsidRDefault="00D47B00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00" w:rsidRDefault="00D47B00" w:rsidP="00BB13CB">
      <w:r>
        <w:separator/>
      </w:r>
    </w:p>
  </w:footnote>
  <w:footnote w:type="continuationSeparator" w:id="0">
    <w:p w:rsidR="00D47B00" w:rsidRDefault="00D47B00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2FF1" w:rsidRPr="00310486" w:rsidRDefault="00B00786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2FF1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7C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506CA"/>
    <w:rsid w:val="000904EF"/>
    <w:rsid w:val="000B76C8"/>
    <w:rsid w:val="00183750"/>
    <w:rsid w:val="001B12ED"/>
    <w:rsid w:val="001C4D25"/>
    <w:rsid w:val="001F610B"/>
    <w:rsid w:val="001F678F"/>
    <w:rsid w:val="00217872"/>
    <w:rsid w:val="002317F5"/>
    <w:rsid w:val="00243920"/>
    <w:rsid w:val="002565A3"/>
    <w:rsid w:val="0026482B"/>
    <w:rsid w:val="00267150"/>
    <w:rsid w:val="002C6913"/>
    <w:rsid w:val="003252C9"/>
    <w:rsid w:val="003702CE"/>
    <w:rsid w:val="003846BF"/>
    <w:rsid w:val="003D0B70"/>
    <w:rsid w:val="003E45D9"/>
    <w:rsid w:val="003E79C3"/>
    <w:rsid w:val="003E79F1"/>
    <w:rsid w:val="003F39C5"/>
    <w:rsid w:val="00467C21"/>
    <w:rsid w:val="004729C7"/>
    <w:rsid w:val="004B106D"/>
    <w:rsid w:val="004C5FE1"/>
    <w:rsid w:val="00513712"/>
    <w:rsid w:val="00525625"/>
    <w:rsid w:val="00671A7B"/>
    <w:rsid w:val="00680A83"/>
    <w:rsid w:val="006B2A75"/>
    <w:rsid w:val="006B4E40"/>
    <w:rsid w:val="007417C2"/>
    <w:rsid w:val="00742B69"/>
    <w:rsid w:val="007618CD"/>
    <w:rsid w:val="007A5D9D"/>
    <w:rsid w:val="007F5422"/>
    <w:rsid w:val="00846822"/>
    <w:rsid w:val="008B03A7"/>
    <w:rsid w:val="008C2FF1"/>
    <w:rsid w:val="008E4D26"/>
    <w:rsid w:val="00970E56"/>
    <w:rsid w:val="00991F08"/>
    <w:rsid w:val="009B2C30"/>
    <w:rsid w:val="009B6277"/>
    <w:rsid w:val="009D4DA3"/>
    <w:rsid w:val="00A017EA"/>
    <w:rsid w:val="00A0275F"/>
    <w:rsid w:val="00A051B9"/>
    <w:rsid w:val="00A24A63"/>
    <w:rsid w:val="00AD47F3"/>
    <w:rsid w:val="00AE47FF"/>
    <w:rsid w:val="00AF06FF"/>
    <w:rsid w:val="00B00786"/>
    <w:rsid w:val="00B03B48"/>
    <w:rsid w:val="00B14A58"/>
    <w:rsid w:val="00BB13CB"/>
    <w:rsid w:val="00BB7C11"/>
    <w:rsid w:val="00BC0961"/>
    <w:rsid w:val="00BD5D73"/>
    <w:rsid w:val="00BE1515"/>
    <w:rsid w:val="00C0260E"/>
    <w:rsid w:val="00C26E82"/>
    <w:rsid w:val="00C8794D"/>
    <w:rsid w:val="00C968D5"/>
    <w:rsid w:val="00CD400B"/>
    <w:rsid w:val="00CE5D01"/>
    <w:rsid w:val="00D059F3"/>
    <w:rsid w:val="00D20361"/>
    <w:rsid w:val="00D31029"/>
    <w:rsid w:val="00D37755"/>
    <w:rsid w:val="00D47B00"/>
    <w:rsid w:val="00D64D07"/>
    <w:rsid w:val="00D67A62"/>
    <w:rsid w:val="00D97EDC"/>
    <w:rsid w:val="00E06230"/>
    <w:rsid w:val="00E4080B"/>
    <w:rsid w:val="00E46B71"/>
    <w:rsid w:val="00E52A0B"/>
    <w:rsid w:val="00E665F0"/>
    <w:rsid w:val="00E90E86"/>
    <w:rsid w:val="00E92EAD"/>
    <w:rsid w:val="00EE539B"/>
    <w:rsid w:val="00EF7DF6"/>
    <w:rsid w:val="00F05FA2"/>
    <w:rsid w:val="00F57F44"/>
    <w:rsid w:val="00F67682"/>
    <w:rsid w:val="00F91854"/>
    <w:rsid w:val="00FA7D23"/>
    <w:rsid w:val="00FF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C2FF1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051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51B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5F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5F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B4007F-4777-4853-AF1A-305F4A5D4574}"/>
</file>

<file path=customXml/itemProps2.xml><?xml version="1.0" encoding="utf-8"?>
<ds:datastoreItem xmlns:ds="http://schemas.openxmlformats.org/officeDocument/2006/customXml" ds:itemID="{89FE8D32-FF6A-46F1-9E9B-35CACF4F3D07}"/>
</file>

<file path=customXml/itemProps3.xml><?xml version="1.0" encoding="utf-8"?>
<ds:datastoreItem xmlns:ds="http://schemas.openxmlformats.org/officeDocument/2006/customXml" ds:itemID="{021F2161-BF4D-44AD-992D-C7D832E9A0E0}"/>
</file>

<file path=customXml/itemProps4.xml><?xml version="1.0" encoding="utf-8"?>
<ds:datastoreItem xmlns:ds="http://schemas.openxmlformats.org/officeDocument/2006/customXml" ds:itemID="{9296A5CC-BB9E-4221-9617-C7C4AA787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77</cp:revision>
  <cp:lastPrinted>2016-02-16T10:58:00Z</cp:lastPrinted>
  <dcterms:created xsi:type="dcterms:W3CDTF">2016-02-12T08:05:00Z</dcterms:created>
  <dcterms:modified xsi:type="dcterms:W3CDTF">2016-03-04T03:09:00Z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